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城固县交通运输局2024年政府信息公开工作年度报告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，城固县交通运输局根据《中华人民共和国政府信息公开条例》规定和县委、县政府统一部署要求，积极采取有效措施，切实做到政府信息公开工作制度化、常态化，确保政府信息公开工作更加扎实、有序地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（一）信息主动公开。2024年我局在本级政府网站发布信息57篇、“县长信箱”5件，为推动我局政务公开工作深入开展提供了坚强的保证。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（二）依申请公开。2024年城固县交通运输局未收到依申请公开申请。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三）政府信息管理。我局认真贯彻落实《中华人民共和国政府信息公开条例》和县委、县政府有关文件要求和会议精神，坚持将政府信息公开工作摆到重要位置，加强和完善政府信息公开机制，确保政府信息公工作机制逐步健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（四）平台建设。强化监督，确保政务公开落实。我局在确保政府信息公开有序推进的同时，集中精力健全长效管理机制，形成规范的政府信息公开机制，确保政府信息公开工作更加扎实、有序地开展。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(五)监督保障。公民、法人或其他组织也可以向监察机关或者县政府机关投诉，接受投诉的机关将根据有关规定进行调查处理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9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9"/>
        <w:tblW w:w="96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42"/>
        <w:gridCol w:w="2196"/>
        <w:gridCol w:w="678"/>
        <w:gridCol w:w="733"/>
        <w:gridCol w:w="705"/>
        <w:gridCol w:w="816"/>
        <w:gridCol w:w="788"/>
        <w:gridCol w:w="788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4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1.申请人无正当理由逾期不补证、行政机关不再处理其政府信息公开申请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2.申请人逾期未按收费通要求缴纳费用、行政机关不再处理其政府信息公开申请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/>
        </w:rPr>
        <w:t>四、政府信息公开行政复议、行政诉讼情况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信息公开数量和范围仍需进一步扩大。下一步我局加强交通运输领域内法律法规、工作动态等信息公开，及时为服务对象和社会公众提供交通运输部门的相关信息。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本年度未收取政府信息处理费，无其他需要报告的事项。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097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城固县交通运输局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097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2025年1月23日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67451209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67451209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3445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3445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7530" cy="2578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sdt>
                            <w:sdtPr>
                              <w:id w:val="1799869527"/>
                            </w:sdtPr>
                            <w:sdtContent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pt;width:43.9pt;mso-position-horizontal:outside;mso-position-horizontal-relative:margin;z-index:251660288;mso-width-relative:page;mso-height-relative:page;" filled="f" stroked="f" coordsize="21600,21600" o:gfxdata="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CxvtMAAAADAQAADwAAAAAAAAABACAAAAAiAAAAZHJzL2Rvd25yZXYueG1sUEsBAhQA&#10;FAAAAAgAh07iQFRshcc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sdt>
                      <w:sdtPr>
                        <w:id w:val="1799869527"/>
                      </w:sdtPr>
                      <w:sdtContent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  <w:r>
      <w:object>
        <v:shape id="_x0000_i1025" o:spt="75" type="#_x0000_t75" style="height:660.75pt;width:443.4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Document.12" ShapeID="_x0000_i1025" DrawAspect="Content" ObjectID="_1468075725" r:id="rId1">
          <o:LockedField>false</o:LockedField>
        </o:OLEObject>
      </w:obje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NTk1YjE0MzY0NGY0ZDYyNzQyMTUwNjU0MWFiYmMifQ=="/>
    <w:docVar w:name="KGWebUrl" w:val="http://10.131.102.3:80/seeyon/officeservlet"/>
    <w:docVar w:name="KSO_WPS_MARK_KEY" w:val="bdbef360-d8a8-4724-a91e-be674bee0d5e"/>
  </w:docVars>
  <w:rsids>
    <w:rsidRoot w:val="00FF30E6"/>
    <w:rsid w:val="0002654B"/>
    <w:rsid w:val="0002795B"/>
    <w:rsid w:val="00027CDC"/>
    <w:rsid w:val="00045F0A"/>
    <w:rsid w:val="00076B8E"/>
    <w:rsid w:val="00083A6B"/>
    <w:rsid w:val="00095E7D"/>
    <w:rsid w:val="00117C33"/>
    <w:rsid w:val="001F229A"/>
    <w:rsid w:val="00206F0F"/>
    <w:rsid w:val="00230DCC"/>
    <w:rsid w:val="00260375"/>
    <w:rsid w:val="00270DA1"/>
    <w:rsid w:val="00272E07"/>
    <w:rsid w:val="002D4C62"/>
    <w:rsid w:val="002D7A18"/>
    <w:rsid w:val="002F3409"/>
    <w:rsid w:val="00393BE2"/>
    <w:rsid w:val="003D316C"/>
    <w:rsid w:val="003F2739"/>
    <w:rsid w:val="003F336D"/>
    <w:rsid w:val="004001B5"/>
    <w:rsid w:val="00417458"/>
    <w:rsid w:val="004328FC"/>
    <w:rsid w:val="004356CE"/>
    <w:rsid w:val="004A5385"/>
    <w:rsid w:val="004D0B46"/>
    <w:rsid w:val="004F3B29"/>
    <w:rsid w:val="0052180E"/>
    <w:rsid w:val="005D09A9"/>
    <w:rsid w:val="00613B93"/>
    <w:rsid w:val="00641A47"/>
    <w:rsid w:val="0068282B"/>
    <w:rsid w:val="00687C7D"/>
    <w:rsid w:val="00696080"/>
    <w:rsid w:val="006A3C5A"/>
    <w:rsid w:val="006F7B02"/>
    <w:rsid w:val="007319A0"/>
    <w:rsid w:val="00733E54"/>
    <w:rsid w:val="00756AFB"/>
    <w:rsid w:val="007B0F6F"/>
    <w:rsid w:val="007E3566"/>
    <w:rsid w:val="008253DC"/>
    <w:rsid w:val="00852EBD"/>
    <w:rsid w:val="00880C94"/>
    <w:rsid w:val="008A52C0"/>
    <w:rsid w:val="009210B1"/>
    <w:rsid w:val="00975FA5"/>
    <w:rsid w:val="009B409E"/>
    <w:rsid w:val="00A87A4A"/>
    <w:rsid w:val="00AF4959"/>
    <w:rsid w:val="00AF51B0"/>
    <w:rsid w:val="00B058BC"/>
    <w:rsid w:val="00B13479"/>
    <w:rsid w:val="00B31B94"/>
    <w:rsid w:val="00BA1346"/>
    <w:rsid w:val="00BC2889"/>
    <w:rsid w:val="00BD07BF"/>
    <w:rsid w:val="00BF7C4C"/>
    <w:rsid w:val="00C410EA"/>
    <w:rsid w:val="00C73073"/>
    <w:rsid w:val="00CF3718"/>
    <w:rsid w:val="00D1600D"/>
    <w:rsid w:val="00D4166D"/>
    <w:rsid w:val="00D92F3A"/>
    <w:rsid w:val="00DA00F9"/>
    <w:rsid w:val="00DA2372"/>
    <w:rsid w:val="00DD5605"/>
    <w:rsid w:val="00DF23C4"/>
    <w:rsid w:val="00E231B8"/>
    <w:rsid w:val="00E31D8C"/>
    <w:rsid w:val="00EB01CA"/>
    <w:rsid w:val="00F521F0"/>
    <w:rsid w:val="00F7381C"/>
    <w:rsid w:val="00F81257"/>
    <w:rsid w:val="00FE5730"/>
    <w:rsid w:val="00FF30E6"/>
    <w:rsid w:val="01033C58"/>
    <w:rsid w:val="01380DDD"/>
    <w:rsid w:val="02071796"/>
    <w:rsid w:val="02355CF3"/>
    <w:rsid w:val="035D1776"/>
    <w:rsid w:val="03841D52"/>
    <w:rsid w:val="048E705D"/>
    <w:rsid w:val="05587C6B"/>
    <w:rsid w:val="05EB254F"/>
    <w:rsid w:val="05FA79CA"/>
    <w:rsid w:val="067624A8"/>
    <w:rsid w:val="06AB2A9A"/>
    <w:rsid w:val="08147C9D"/>
    <w:rsid w:val="0A2A78FA"/>
    <w:rsid w:val="0AE53B72"/>
    <w:rsid w:val="0E6A64A9"/>
    <w:rsid w:val="0E7706B8"/>
    <w:rsid w:val="0EBC476A"/>
    <w:rsid w:val="109012AF"/>
    <w:rsid w:val="10D37D95"/>
    <w:rsid w:val="113118BF"/>
    <w:rsid w:val="11540CE7"/>
    <w:rsid w:val="11CC5E93"/>
    <w:rsid w:val="11EB4945"/>
    <w:rsid w:val="12B11A28"/>
    <w:rsid w:val="12CB5F06"/>
    <w:rsid w:val="13AA5959"/>
    <w:rsid w:val="141A0296"/>
    <w:rsid w:val="15074794"/>
    <w:rsid w:val="154B4C97"/>
    <w:rsid w:val="15E72E94"/>
    <w:rsid w:val="15F537B3"/>
    <w:rsid w:val="169841CF"/>
    <w:rsid w:val="16C5083B"/>
    <w:rsid w:val="17160D7C"/>
    <w:rsid w:val="172D0D7B"/>
    <w:rsid w:val="17D22BB9"/>
    <w:rsid w:val="192E48BE"/>
    <w:rsid w:val="19487F7C"/>
    <w:rsid w:val="196E5472"/>
    <w:rsid w:val="199F3FB8"/>
    <w:rsid w:val="19BE4A83"/>
    <w:rsid w:val="1A0A4D13"/>
    <w:rsid w:val="1A116732"/>
    <w:rsid w:val="1B8B29A1"/>
    <w:rsid w:val="1BFA17A0"/>
    <w:rsid w:val="1CE2122B"/>
    <w:rsid w:val="1CF55129"/>
    <w:rsid w:val="1F736760"/>
    <w:rsid w:val="1FC90C40"/>
    <w:rsid w:val="20BB73F7"/>
    <w:rsid w:val="22E95137"/>
    <w:rsid w:val="232037C0"/>
    <w:rsid w:val="23E90D88"/>
    <w:rsid w:val="25A208B3"/>
    <w:rsid w:val="25C1725E"/>
    <w:rsid w:val="25C32BA6"/>
    <w:rsid w:val="25E007CC"/>
    <w:rsid w:val="25FB0161"/>
    <w:rsid w:val="273B7AF0"/>
    <w:rsid w:val="281A1405"/>
    <w:rsid w:val="285E3252"/>
    <w:rsid w:val="28E015B7"/>
    <w:rsid w:val="29A91DF0"/>
    <w:rsid w:val="2A611E57"/>
    <w:rsid w:val="2B0226C1"/>
    <w:rsid w:val="2B487ADA"/>
    <w:rsid w:val="2BFD7601"/>
    <w:rsid w:val="2EE7506B"/>
    <w:rsid w:val="2F233F79"/>
    <w:rsid w:val="301726FE"/>
    <w:rsid w:val="30A97BA9"/>
    <w:rsid w:val="327B52C8"/>
    <w:rsid w:val="32F53499"/>
    <w:rsid w:val="33810E96"/>
    <w:rsid w:val="34BE56FC"/>
    <w:rsid w:val="36841832"/>
    <w:rsid w:val="37383150"/>
    <w:rsid w:val="379232EA"/>
    <w:rsid w:val="390D2C42"/>
    <w:rsid w:val="3969082D"/>
    <w:rsid w:val="3AC020A5"/>
    <w:rsid w:val="3B39051B"/>
    <w:rsid w:val="3C3468EE"/>
    <w:rsid w:val="3C817816"/>
    <w:rsid w:val="3D75764F"/>
    <w:rsid w:val="3DAC1E82"/>
    <w:rsid w:val="3E6C6C27"/>
    <w:rsid w:val="3EFE66F2"/>
    <w:rsid w:val="3F6774A6"/>
    <w:rsid w:val="41430531"/>
    <w:rsid w:val="41B17E7B"/>
    <w:rsid w:val="43516D3C"/>
    <w:rsid w:val="43885966"/>
    <w:rsid w:val="43D50FA5"/>
    <w:rsid w:val="442501BA"/>
    <w:rsid w:val="443D70D0"/>
    <w:rsid w:val="446B3BA3"/>
    <w:rsid w:val="449C0E20"/>
    <w:rsid w:val="454F169A"/>
    <w:rsid w:val="46BB0681"/>
    <w:rsid w:val="47374F95"/>
    <w:rsid w:val="47F56585"/>
    <w:rsid w:val="49BD5F86"/>
    <w:rsid w:val="49CA1512"/>
    <w:rsid w:val="49CC6010"/>
    <w:rsid w:val="4A060B8A"/>
    <w:rsid w:val="4A5E47CC"/>
    <w:rsid w:val="4A6035AD"/>
    <w:rsid w:val="4ACF3857"/>
    <w:rsid w:val="4B341477"/>
    <w:rsid w:val="4D2229CE"/>
    <w:rsid w:val="4F5472DD"/>
    <w:rsid w:val="4FEE6100"/>
    <w:rsid w:val="5045670D"/>
    <w:rsid w:val="507634C0"/>
    <w:rsid w:val="50B75F38"/>
    <w:rsid w:val="52B035A0"/>
    <w:rsid w:val="52D7620D"/>
    <w:rsid w:val="538960D1"/>
    <w:rsid w:val="547277F2"/>
    <w:rsid w:val="54946042"/>
    <w:rsid w:val="54AE6672"/>
    <w:rsid w:val="55060DD7"/>
    <w:rsid w:val="560E52F8"/>
    <w:rsid w:val="568A531C"/>
    <w:rsid w:val="56D007FF"/>
    <w:rsid w:val="56D93E03"/>
    <w:rsid w:val="570417D7"/>
    <w:rsid w:val="57156771"/>
    <w:rsid w:val="57504B46"/>
    <w:rsid w:val="5866579B"/>
    <w:rsid w:val="58B82245"/>
    <w:rsid w:val="59BB7545"/>
    <w:rsid w:val="5ADA0257"/>
    <w:rsid w:val="5AF076C2"/>
    <w:rsid w:val="5CD856E3"/>
    <w:rsid w:val="5D154B26"/>
    <w:rsid w:val="5E0328D5"/>
    <w:rsid w:val="5E0B0EFF"/>
    <w:rsid w:val="5E225E52"/>
    <w:rsid w:val="5E911AD2"/>
    <w:rsid w:val="5F982F49"/>
    <w:rsid w:val="6087673A"/>
    <w:rsid w:val="61C557B5"/>
    <w:rsid w:val="625D13DA"/>
    <w:rsid w:val="64423969"/>
    <w:rsid w:val="64AA5D27"/>
    <w:rsid w:val="65B338CB"/>
    <w:rsid w:val="66D659C0"/>
    <w:rsid w:val="66DF5385"/>
    <w:rsid w:val="67A568F9"/>
    <w:rsid w:val="688D6550"/>
    <w:rsid w:val="69355990"/>
    <w:rsid w:val="69984C4A"/>
    <w:rsid w:val="6A1414E0"/>
    <w:rsid w:val="6A1512DA"/>
    <w:rsid w:val="6C80526C"/>
    <w:rsid w:val="6CD30DD3"/>
    <w:rsid w:val="6D70247D"/>
    <w:rsid w:val="6FAE5D00"/>
    <w:rsid w:val="6FF1113E"/>
    <w:rsid w:val="70490638"/>
    <w:rsid w:val="720A314B"/>
    <w:rsid w:val="73453F18"/>
    <w:rsid w:val="7418390E"/>
    <w:rsid w:val="75124C13"/>
    <w:rsid w:val="756B74A0"/>
    <w:rsid w:val="764B55EE"/>
    <w:rsid w:val="766F328D"/>
    <w:rsid w:val="76CE6445"/>
    <w:rsid w:val="783411EB"/>
    <w:rsid w:val="78DD5905"/>
    <w:rsid w:val="79362609"/>
    <w:rsid w:val="79ED0A2A"/>
    <w:rsid w:val="7A4A42A1"/>
    <w:rsid w:val="7BF47B80"/>
    <w:rsid w:val="7BFE7D1D"/>
    <w:rsid w:val="7C0734E6"/>
    <w:rsid w:val="7C08691C"/>
    <w:rsid w:val="7C0B0D23"/>
    <w:rsid w:val="7CEF1130"/>
    <w:rsid w:val="7D6F0F6F"/>
    <w:rsid w:val="7E1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fontstyle01"/>
    <w:basedOn w:val="10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3">
    <w:name w:val="fontstyle1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fontstyle21"/>
    <w:basedOn w:val="10"/>
    <w:qFormat/>
    <w:uiPriority w:val="0"/>
    <w:rPr>
      <w:rFonts w:hint="eastAsia" w:ascii="黑体" w:eastAsia="黑体"/>
      <w:color w:val="000000"/>
      <w:sz w:val="32"/>
      <w:szCs w:val="32"/>
    </w:rPr>
  </w:style>
  <w:style w:type="character" w:customStyle="1" w:styleId="15">
    <w:name w:val="fontstyle4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日期 字符"/>
    <w:basedOn w:val="10"/>
    <w:link w:val="4"/>
    <w:semiHidden/>
    <w:qFormat/>
    <w:uiPriority w:val="99"/>
    <w:rPr>
      <w:kern w:val="2"/>
      <w:sz w:val="32"/>
      <w:szCs w:val="22"/>
    </w:rPr>
  </w:style>
  <w:style w:type="paragraph" w:customStyle="1" w:styleId="20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凯旋科技公司 TEL:7212016</Company>
  <Pages>7</Pages>
  <Words>1476</Words>
  <Characters>1513</Characters>
  <Lines>67</Lines>
  <Paragraphs>19</Paragraphs>
  <TotalTime>6</TotalTime>
  <ScaleCrop>false</ScaleCrop>
  <LinksUpToDate>false</LinksUpToDate>
  <CharactersWithSpaces>1513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2024-01-15T03:53:00Z</dcterms:created>
  <dc:creator>用户水利局</dc:creator>
  <cp:lastModifiedBy>正</cp:lastModifiedBy>
  <cp:lastPrinted>2023-03-28T09:00:00Z</cp:lastPrinted>
  <dcterms:modified xsi:type="dcterms:W3CDTF">2025-01-26T01:55:22Z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CB608548FF2747DB937044678E9DABFB_13</vt:lpwstr>
  </property>
  <property fmtid="{D5CDD505-2E9C-101B-9397-08002B2CF9AE}" pid="4" name="KSOTemplateDocerSaveRecord">
    <vt:lpwstr>eyJoZGlkIjoiODY2MmI4MTM5YzhmZTljMzFhYzBlY2U5MGVmZjBmY2QiLCJ1c2VySWQiOiI2MTk2MDk5MTEifQ==</vt:lpwstr>
  </property>
</Properties>
</file>